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ДОГОВОР № </w:t>
      </w:r>
      <w: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  <w:t xml:space="preserve">_______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об оказании платных образовательных услуг по программам повышения квалификации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«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»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highlight w:val="yellow"/>
          <w:u w:val="single"/>
        </w:rPr>
        <w:t xml:space="preserve">  20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«Международный институт раз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вития образования»  (далее – АНО ДПО «МИРО»), осуществляющая образовательную деятельность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лицензии от 29 сентября 2022 года,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р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white"/>
        </w:rPr>
        <w:t xml:space="preserve">егистрационный номер лицензии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0"/>
          <w:szCs w:val="20"/>
          <w:highlight w:val="white"/>
        </w:rPr>
        <w:t xml:space="preserve">Л035-01298-77/00181770</w:t>
      </w:r>
      <w:r>
        <w:rPr>
          <w:rFonts w:ascii="Times New Roman" w:hAnsi="Times New Roman" w:cs="Times New Roman"/>
          <w:sz w:val="20"/>
          <w:szCs w:val="20"/>
        </w:rPr>
        <w:t xml:space="preserve">, выданной Департаментом образования и науки города Москвы бессрочно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в лице Ректора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Чеснокова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«Исполнитель», с одной стороны, и граждани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ка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  <w:t xml:space="preserve">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именуемы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й(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1. ПРЕДМЕТ ДОГОВОРА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 программе повышения квалификации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Эмоциональный интеллект – практические техники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(для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педагогов-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психологов)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72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академических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часа, срок освоения образовательной программы (продолжительность обучения) -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4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недел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1.4.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При освоении образовательной программы параллельно с полу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1.5. Лицам, отчисленным до завершения обучения и (или) не прошедшим итоговое тестирование, выдается справка об обучении или о периоде обучения.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2. ПРАВА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 Исполнитель вправе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промежуточного тестирования Обучающегося.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2.1.2. Применять к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2.1.3. Требовать от Обучающегося выполнения обязанностей согласно п.п. 3.2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 Обучающийся вправе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2.2.1. Обращаться к Исполнителю по вопросам, касающимся образовательного процесса.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3. ОБЯЗАННОСТИ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 Исполнитель обязуется: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3.1.2. Довести до Обучающегося информацию, содержащую сведения о предоставлении платных образовательных услуг по настоящему Договору.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п.1.1.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3.1.4. Обеспечить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3.1.5.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Предоставлять Обучающемуся по его требованию информацию о содержании учебных дисциплин (модулей), предусмотренных учебным планом.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pStyle w:val="869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Календарный учебный график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программы повышения квалификации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«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Эмоциональный интеллект – практические техники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(для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педагогов-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психологов)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»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Срок освоения –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72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ак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. ч. –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4 недели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tbl>
      <w:tblPr>
        <w:tblStyle w:val="867"/>
        <w:tblW w:w="9090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113"/>
        <w:gridCol w:w="1497"/>
        <w:gridCol w:w="1356"/>
        <w:gridCol w:w="1417"/>
      </w:tblGrid>
      <w:tr>
        <w:tblPrEx/>
        <w:trPr>
          <w:trHeight w:val="870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Наименование предметного модуля, разделов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Общая трудоёмкость (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асы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pStyle w:val="869"/>
              <w:ind w:firstLine="3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Форма контроля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69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Учебная неделя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ПМ «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Эмоциональный интеллект – практические техники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зачет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1-4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1 . Эмоциональный интеллект как предмет психологического исследования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28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1-2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Эмоциональный интеллект как фундамент развития личности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Идентификация и понимание причин эмоций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 2. Диагностика и развитие эмоционального интеллекта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2-4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Психодиагностические методики измерения эмоционального интеллекта и процедура их адаптации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2-3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Техники развития эмоционального интеллекта у детей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Развитие эмоционального интеллекта. Техники управления эмоциями и чувствами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3-4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Промежуточная аттестация по ПМ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pStyle w:val="870"/>
              <w:jc w:val="center"/>
              <w:spacing w:line="276" w:lineRule="auto"/>
              <w:widowControl w:val="off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Зачет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ind w:firstLine="33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41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Итоговая аттестация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pStyle w:val="871"/>
              <w:jc w:val="center"/>
              <w:spacing w:before="0"/>
              <w:widowControl w:val="o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Диф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pStyle w:val="871"/>
              <w:jc w:val="center"/>
              <w:spacing w:before="0"/>
              <w:widowControl w:val="o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Зачет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48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r>
          </w:p>
        </w:tc>
      </w:tr>
    </w:tbl>
    <w:p>
      <w:pPr>
        <w:ind w:firstLine="34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3.1.6. Проводить контроль знаний Обучающегося в форме и сроке, установленном учебным планом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Обучающегося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3.1.8. Обеспечить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3.1.10. Принимать от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Обучающегося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плату за образовательные услуги.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 Обучающийся обязуется: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3.2.1. Предоставить Исполнителю достоверные сведения о себе, необходимые для зачисления на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обучение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3.2.2. Соблюдать требования, установленные в статье 43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3.2.3. Добросовестно осваивать образовательную программу, выполнять задания в рамках образовательной программы.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3.2.4. Соблюдать приказы, распоряжения и локальные акты Исполнителя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3.2.5. Своевременно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оплатить полную стоимость обучения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в порядке и на условиях, предусмотренных настоящим Договором.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4. СТОИМОСТЬ УСЛУГ, СРОКИ И ПОРЯДОК ИХ ОПЛАТЫ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shd w:val="clear" w:color="auto" w:fill="ffff00"/>
        </w:rPr>
        <w:t xml:space="preserve">2210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shd w:val="clear" w:color="auto" w:fill="ffff00"/>
        </w:rPr>
        <w:t xml:space="preserve">0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 (</w:t>
      </w:r>
      <w:r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ffff00"/>
        </w:rPr>
        <w:t xml:space="preserve">двадцать две тысячи сто</w:t>
      </w:r>
      <w:r>
        <w:rPr>
          <w:rFonts w:ascii="Times New Roman" w:hAnsi="Times New Roman" w:eastAsia="Times New Roman" w:cs="Times New Roman"/>
          <w:b/>
          <w:sz w:val="20"/>
          <w:szCs w:val="20"/>
          <w:shd w:val="clear" w:color="auto" w:fill="ffff00"/>
        </w:rPr>
        <w:t xml:space="preserve"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рублей 00 копеек (НДС не облагается)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4.2. Оплата производится Обучающимся путем перечисления денежных средств на расчетный счет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5. ОСНОВАНИЯ И ПОРЯДОК ИЗМЕНЕНИЯ И РАСТОРЖЕНИЯ ДОГОВОРА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5.1. Условия,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5.2. Настоящий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может быть расторгнут по соглашению Сторон.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5.3. Настоящий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просрочки оплаты стоимости платных образовательных услуг;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в иных случаях, предусмотренных законодательством РФ.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5.4. Настоящий Договор расторгается досрочно: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по инициативе Исполнителя в случае применения к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расходов.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обучения по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6. ОТВЕТСТВЕННОСТЬ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6.2.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полном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объеме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предусмотренном образовательными программами (частью образовательной программы).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6.3.1. Безвозмездного устранения недостатков в разумный срок;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6.3.2. Соразмерного уменьшения стоимости образовательных услуг;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6.4. Если недостаток платных образовательных услуг не може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6.5.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6.6.3. Потребовать соразмерного уменьшения стоимости образовательной услуги;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6.6.4. Расторгнуть Договор.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6.7. При обнаружении недостатка платных образовательных услуг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ых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недостатка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 и свои требование (я).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 даты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его получения.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6.9. Требования к программному обеспечению обучающегося: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OC: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Windows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android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Chrome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версии 80 и старше.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7. ЗАКЛЮЧИТЕЛЬНЫЕ ПОЛОЖЕНИЯ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7.1.  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Срок действия договора равен сроку оказания образовательн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услуг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и,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указанно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приказа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7.4. Отношения Сторон в части, не определенной настоящим Договором, регулируются действующим законодательством РФ.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7.6.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Стороны признают юридическую силу за электронными письмами – документами, направленными по электронной почте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e-mail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), и признают их равнозначными документами на бумажных но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на получение от Исполнителя любой информации по данному Договору в электронном виде по электронному адресу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указанному в реквизитах.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Обучающийся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Обучающегося.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br w:type="page" w:clear="all"/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8. АДРЕСА, РЕКВИЗИТЫ И ПОДПИСИ СТОРОН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АНО ДПО «МИРО»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ИНН 7717163530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КПП 775101001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БИК 044525225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ОГРН 1137799014275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/счет 40703810138050001545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ПАО «Сбербанк России»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г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. Москва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кор\счет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30101810400000000225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Юридический адрес: 108811, город Москва, километр Киевское шоссе 22-й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Московский),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оф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г/9/937г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Почтовый адрес: 108811, город Москва, километр Киевское шоссе 22-й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Московский),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/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оф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г/9/937г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Тел.: 7 (800) 555-20-50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e-mail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hyperlink r:id="rId10" w:tooltip="mailto:spets@defectologiya.pro" w:history="1">
        <w:r>
          <w:rPr>
            <w:rFonts w:ascii="Times New Roman" w:hAnsi="Times New Roman" w:eastAsia="Times New Roman" w:cs="Times New Roman"/>
            <w:color w:val="000000"/>
            <w:sz w:val="20"/>
            <w:szCs w:val="20"/>
            <w:u w:val="single"/>
          </w:rPr>
          <w:t xml:space="preserve">spets@defectologiya.pro</w:t>
        </w:r>
      </w:hyperlink>
      <w:r>
        <w:rPr>
          <w:rFonts w:ascii="Times New Roman" w:hAnsi="Times New Roman" w:eastAsia="Times New Roman" w:cs="Times New Roman"/>
          <w:sz w:val="20"/>
          <w:szCs w:val="20"/>
        </w:rPr>
        <w:t xml:space="preserve"> (Приемная комиссия)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t xml:space="preserve">             </w:t>
      </w:r>
      <w:hyperlink r:id="rId11" w:tooltip="mailto:kpk@defectologiya.pro" w:history="1">
        <w:r>
          <w:rPr>
            <w:rFonts w:ascii="Times New Roman" w:hAnsi="Times New Roman" w:eastAsia="Times New Roman" w:cs="Times New Roman"/>
            <w:color w:val="000000"/>
            <w:sz w:val="20"/>
            <w:szCs w:val="20"/>
            <w:u w:val="single"/>
          </w:rPr>
          <w:t xml:space="preserve">kpk@defectologiya.pro</w:t>
        </w:r>
      </w:hyperlink>
      <w:r>
        <w:rPr>
          <w:rFonts w:ascii="Times New Roman" w:hAnsi="Times New Roman" w:eastAsia="Times New Roman" w:cs="Times New Roman"/>
          <w:sz w:val="20"/>
          <w:szCs w:val="20"/>
        </w:rPr>
        <w:t xml:space="preserve"> (Отдел контроля качества)</w:t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  <w:r>
        <w:rPr>
          <w:rFonts w:ascii="Times New Roman" w:hAnsi="Times New Roman" w:eastAsia="Times New Roman" w:cs="Times New Roman"/>
          <w:sz w:val="20"/>
          <w:szCs w:val="20"/>
          <w:u w:val="single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Ректор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______________________А.А. Чесноков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(Исполнитель)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Обучающийся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Паспорт: Серия ________ Номер ________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c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Кем и когда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выдан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Место Рождения: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Дата Рождения: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color w:val="c00000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Зарегистрирован: </w:t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  <w:r>
        <w:rPr>
          <w:rFonts w:ascii="Times New Roman" w:hAnsi="Times New Roman" w:eastAsia="Times New Roman" w:cs="Times New Roman"/>
          <w:color w:val="c00000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Адрес электронной почты: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н(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а).Содержание в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Обучающегося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на получение от Исполнителя любой информации по данному договору в электронном виде по следующему электронному адресу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  <w:t xml:space="preserve">  </w:t>
      </w:r>
      <w:r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</w:r>
      <w:r>
        <w:rPr>
          <w:rFonts w:ascii="Roboto" w:hAnsi="Roboto" w:eastAsia="Roboto" w:cs="Roboto"/>
          <w:color w:val="151515"/>
          <w:sz w:val="23"/>
          <w:szCs w:val="23"/>
          <w:shd w:val="clear" w:color="auto" w:fill="fbfbfb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_____________________ /_____________________/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(Обучающийся)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707" w:bottom="0" w:left="1134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</w:rPr>
      <w:t xml:space="preserve">                                                                                                                           Обучающийся _______________________</w:t>
    </w: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Heading 1 Char"/>
    <w:basedOn w:val="667"/>
    <w:link w:val="685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Heading 2 Char"/>
    <w:basedOn w:val="667"/>
    <w:link w:val="686"/>
    <w:uiPriority w:val="9"/>
    <w:rPr>
      <w:rFonts w:ascii="Arial" w:hAnsi="Arial" w:eastAsia="Arial" w:cs="Arial"/>
      <w:sz w:val="34"/>
    </w:rPr>
  </w:style>
  <w:style w:type="character" w:styleId="672" w:customStyle="1">
    <w:name w:val="Heading 3 Char"/>
    <w:basedOn w:val="667"/>
    <w:link w:val="687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Heading 4 Char"/>
    <w:basedOn w:val="667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Heading 5 Char"/>
    <w:basedOn w:val="66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6 Char"/>
    <w:basedOn w:val="667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Heading 7 Char"/>
    <w:basedOn w:val="667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Heading 8 Char"/>
    <w:basedOn w:val="667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Heading 9 Char"/>
    <w:basedOn w:val="667"/>
    <w:link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679" w:customStyle="1">
    <w:name w:val="Title Char"/>
    <w:basedOn w:val="667"/>
    <w:link w:val="695"/>
    <w:uiPriority w:val="10"/>
    <w:rPr>
      <w:sz w:val="48"/>
      <w:szCs w:val="48"/>
    </w:rPr>
  </w:style>
  <w:style w:type="character" w:styleId="680" w:customStyle="1">
    <w:name w:val="Subtitle Char"/>
    <w:basedOn w:val="667"/>
    <w:link w:val="708"/>
    <w:uiPriority w:val="11"/>
    <w:rPr>
      <w:sz w:val="24"/>
      <w:szCs w:val="24"/>
    </w:rPr>
  </w:style>
  <w:style w:type="character" w:styleId="681" w:customStyle="1">
    <w:name w:val="Quote Char"/>
    <w:link w:val="710"/>
    <w:uiPriority w:val="29"/>
    <w:rPr>
      <w:i/>
    </w:rPr>
  </w:style>
  <w:style w:type="character" w:styleId="682" w:customStyle="1">
    <w:name w:val="Intense Quote Char"/>
    <w:link w:val="712"/>
    <w:uiPriority w:val="30"/>
    <w:rPr>
      <w:i/>
    </w:rPr>
  </w:style>
  <w:style w:type="character" w:styleId="683" w:customStyle="1">
    <w:name w:val="Footnote Text Char"/>
    <w:link w:val="843"/>
    <w:uiPriority w:val="99"/>
    <w:rPr>
      <w:sz w:val="18"/>
    </w:rPr>
  </w:style>
  <w:style w:type="character" w:styleId="684" w:customStyle="1">
    <w:name w:val="Endnote Text Char"/>
    <w:link w:val="846"/>
    <w:uiPriority w:val="99"/>
    <w:rPr>
      <w:sz w:val="20"/>
    </w:rPr>
  </w:style>
  <w:style w:type="paragraph" w:styleId="685" w:customStyle="1">
    <w:name w:val="Heading 1"/>
    <w:basedOn w:val="666"/>
    <w:next w:val="666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6" w:customStyle="1">
    <w:name w:val="Heading 2"/>
    <w:basedOn w:val="666"/>
    <w:next w:val="666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7" w:customStyle="1">
    <w:name w:val="Heading 3"/>
    <w:basedOn w:val="666"/>
    <w:next w:val="666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 w:customStyle="1">
    <w:name w:val="Heading 4"/>
    <w:basedOn w:val="666"/>
    <w:next w:val="666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 w:customStyle="1">
    <w:name w:val="Heading 5"/>
    <w:basedOn w:val="666"/>
    <w:next w:val="666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 w:customStyle="1">
    <w:name w:val="Heading 6"/>
    <w:basedOn w:val="666"/>
    <w:next w:val="66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1" w:customStyle="1">
    <w:name w:val="Heading 7"/>
    <w:basedOn w:val="666"/>
    <w:next w:val="666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2" w:customStyle="1">
    <w:name w:val="Heading 8"/>
    <w:basedOn w:val="666"/>
    <w:next w:val="6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3" w:customStyle="1">
    <w:name w:val="Heading 9"/>
    <w:basedOn w:val="666"/>
    <w:next w:val="666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69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95">
    <w:name w:val="Title"/>
    <w:basedOn w:val="666"/>
    <w:next w:val="666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1 Знак"/>
    <w:basedOn w:val="667"/>
    <w:link w:val="685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67"/>
    <w:link w:val="686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67"/>
    <w:link w:val="687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67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6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67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67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67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67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66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pPr>
      <w:spacing w:after="0" w:line="240" w:lineRule="auto"/>
    </w:pPr>
  </w:style>
  <w:style w:type="character" w:styleId="707" w:customStyle="1">
    <w:name w:val="Название Знак"/>
    <w:basedOn w:val="667"/>
    <w:link w:val="695"/>
    <w:uiPriority w:val="10"/>
    <w:rPr>
      <w:sz w:val="48"/>
      <w:szCs w:val="48"/>
    </w:rPr>
  </w:style>
  <w:style w:type="paragraph" w:styleId="708">
    <w:name w:val="Subtitle"/>
    <w:basedOn w:val="666"/>
    <w:next w:val="666"/>
    <w:link w:val="709"/>
    <w:pPr>
      <w:spacing w:before="200" w:after="200"/>
    </w:pPr>
    <w:rPr>
      <w:sz w:val="24"/>
      <w:szCs w:val="24"/>
    </w:rPr>
  </w:style>
  <w:style w:type="character" w:styleId="709" w:customStyle="1">
    <w:name w:val="Подзаголовок Знак"/>
    <w:basedOn w:val="667"/>
    <w:link w:val="708"/>
    <w:uiPriority w:val="11"/>
    <w:rPr>
      <w:sz w:val="24"/>
      <w:szCs w:val="24"/>
    </w:rPr>
  </w:style>
  <w:style w:type="paragraph" w:styleId="710">
    <w:name w:val="Quote"/>
    <w:basedOn w:val="666"/>
    <w:next w:val="666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66"/>
    <w:next w:val="666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character" w:styleId="714" w:customStyle="1">
    <w:name w:val="Header Char"/>
    <w:basedOn w:val="667"/>
    <w:uiPriority w:val="99"/>
  </w:style>
  <w:style w:type="character" w:styleId="715" w:customStyle="1">
    <w:name w:val="Footer Char"/>
    <w:basedOn w:val="667"/>
    <w:uiPriority w:val="99"/>
  </w:style>
  <w:style w:type="paragraph" w:styleId="716" w:customStyle="1">
    <w:name w:val="Caption"/>
    <w:basedOn w:val="666"/>
    <w:next w:val="666"/>
    <w:link w:val="71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7" w:customStyle="1">
    <w:name w:val="Caption Char"/>
    <w:uiPriority w:val="99"/>
  </w:style>
  <w:style w:type="table" w:styleId="718" w:customStyle="1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 w:customStyle="1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00" w:fill="ffffff" w:themeFill="accent1" w:themeFillTint="00"/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1" w:themeTint="00" w:sz="4" w:space="0"/>
        </w:tcBorders>
      </w:tcPr>
    </w:tblStylePr>
  </w:style>
  <w:style w:type="table" w:styleId="747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2" w:themeTint="00" w:sz="4" w:space="0"/>
        </w:tcBorders>
      </w:tcPr>
    </w:tblStylePr>
  </w:style>
  <w:style w:type="table" w:styleId="748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3" w:themeTint="00" w:sz="4" w:space="0"/>
        </w:tcBorders>
      </w:tcPr>
    </w:tblStylePr>
  </w:style>
  <w:style w:type="table" w:styleId="749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4" w:themeTint="00" w:sz="4" w:space="0"/>
        </w:tcBorders>
      </w:tcPr>
    </w:tblStylePr>
  </w:style>
  <w:style w:type="table" w:styleId="750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 w:customStyle="1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text1" w:themeTint="00" w:fill="ffffff" w:themeFill="text1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1" w:themeTint="00" w:fill="ffffff" w:themeFill="accent1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2" w:themeTint="00" w:fill="ffffff" w:themeFill="accent2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3" w:themeTint="00" w:fill="ffffff" w:themeFill="accent3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4" w:themeTint="00" w:fill="ffffff" w:themeFill="accent4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5" w:themeTint="00" w:fill="ffffff" w:themeFill="accent5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6" w:themeTint="00" w:fill="ffffff" w:themeFill="accent6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b/>
        <w:color w:val="ffffff" w:themeColor="text1" w:themeTint="00" w:themeShade="00"/>
      </w:rPr>
    </w:tblStylePr>
    <w:tblStylePr w:type="firstRow">
      <w:rPr>
        <w:b/>
        <w:color w:val="ffffff" w:themeColor="text1" w:themeTint="00" w:themeShade="0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ffffff" w:themeColor="text1" w:themeTint="00" w:themeShade="00"/>
      </w:rPr>
    </w:tblStylePr>
    <w:tblStylePr w:type="lastRow">
      <w:rPr>
        <w:b/>
        <w:color w:val="ffffff" w:themeColor="text1" w:themeTint="00" w:themeShade="00"/>
      </w:rPr>
    </w:tblStylePr>
  </w:style>
  <w:style w:type="table" w:styleId="760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b/>
        <w:color w:val="ffffff" w:themeColor="accent1" w:themeTint="00" w:themeShade="00"/>
      </w:rPr>
    </w:tblStylePr>
    <w:tblStylePr w:type="firstRow">
      <w:rPr>
        <w:b/>
        <w:color w:val="ffffff" w:themeColor="accent1" w:themeTint="00" w:themeShade="0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ffffff" w:themeColor="accent1" w:themeTint="00" w:themeShade="00"/>
      </w:rPr>
    </w:tblStylePr>
    <w:tblStylePr w:type="lastRow">
      <w:rPr>
        <w:b/>
        <w:color w:val="ffffff" w:themeColor="accent1" w:themeTint="00" w:themeShade="00"/>
      </w:rPr>
    </w:tblStylePr>
  </w:style>
  <w:style w:type="table" w:styleId="761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</w:tblStylePr>
  </w:style>
  <w:style w:type="table" w:styleId="762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</w:tblStylePr>
  </w:style>
  <w:style w:type="table" w:styleId="763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</w:tblStylePr>
  </w:style>
  <w:style w:type="table" w:styleId="764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765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766" w:customStyle="1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rFonts w:ascii="Arial" w:hAnsi="Arial"/>
        <w:i/>
        <w:color w:val="ffffff" w:themeColor="accen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1" w:themeTint="00" w:sz="4" w:space="0"/>
        </w:tcBorders>
      </w:tcPr>
    </w:tblStylePr>
    <w:tblStylePr w:type="fir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rFonts w:ascii="Arial" w:hAnsi="Arial"/>
        <w:i/>
        <w:color w:val="000000" w:themeColor="accent5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6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  <w:tblStylePr w:type="firstCol">
      <w:rPr>
        <w:rFonts w:ascii="Arial" w:hAnsi="Arial"/>
        <w:i/>
        <w:color w:val="000000" w:themeColor="accent6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bottom w:val="single" w:color="FFFFFF" w:themeColor="text1" w:themeTint="00" w:sz="4" w:space="0"/>
        <w:insideH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bottom w:val="single" w:color="FFFFFF" w:themeColor="accent1" w:themeTint="00" w:sz="4" w:space="0"/>
        <w:insideH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bottom w:val="single" w:color="FFFFFF" w:themeColor="accent2" w:themeTint="00" w:sz="4" w:space="0"/>
        <w:insideH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bottom w:val="single" w:color="FFFFFF" w:themeColor="accent3" w:themeTint="00" w:sz="4" w:space="0"/>
        <w:insideH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bottom w:val="single" w:color="FFFFFF" w:themeColor="accent4" w:themeTint="00" w:sz="4" w:space="0"/>
        <w:insideH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bottom w:val="single" w:color="FFFFFF" w:themeColor="accent5" w:themeTint="00" w:sz="4" w:space="0"/>
        <w:insideH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bottom w:val="single" w:color="FFFFFF" w:themeColor="accent6" w:themeTint="00" w:sz="4" w:space="0"/>
        <w:insideH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</w:style>
  <w:style w:type="table" w:styleId="787" w:customStyle="1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bottom w:val="single" w:color="FFFFFF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bottom w:val="single" w:color="FFFFFF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bottom w:val="single" w:color="FFFFFF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bottom w:val="single" w:color="FFFFFF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00" w:fill="ffffff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bottom w:val="single" w:color="FFFFFF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00" w:fill="ffffff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32" w:space="0"/>
        <w:left w:val="single" w:color="FFFFFF" w:themeColor="text1" w:themeTint="00" w:sz="32" w:space="0"/>
        <w:bottom w:val="single" w:color="FFFFFF" w:themeColor="text1" w:themeTint="00" w:sz="32" w:space="0"/>
        <w:right w:val="single" w:color="FFFFFF" w:themeColor="text1" w:themeTint="00" w:sz="32" w:space="0"/>
      </w:tblBorders>
      <w:shd w:val="clear" w:color="ffffff" w:themeColor="text1" w:themeTint="00" w:fill="ffffff" w:themeFill="text1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text1" w:themeTint="00" w:fill="ffffff" w:themeFill="text1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text1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00" w:fill="ffffff" w:themeFill="text1" w:themeFillTint="00"/>
        <w:tcBorders>
          <w:top w:val="single" w:color="FFFFFF" w:themeColor="text1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32" w:space="0"/>
        <w:left w:val="single" w:color="FFFFFF" w:themeColor="accent2" w:themeTint="00" w:sz="32" w:space="0"/>
        <w:bottom w:val="single" w:color="FFFFFF" w:themeColor="accent2" w:themeTint="00" w:sz="32" w:space="0"/>
        <w:right w:val="single" w:color="FFFFFF" w:themeColor="accent2" w:themeTint="00" w:sz="32" w:space="0"/>
      </w:tblBorders>
      <w:shd w:val="clear" w:color="ffffff" w:themeColor="accent2" w:themeTint="00" w:fill="ffffff" w:themeFill="accent2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2" w:themeTint="00" w:fill="ffffff" w:themeFill="accent2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2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32" w:space="0"/>
        <w:left w:val="single" w:color="FFFFFF" w:themeColor="accent3" w:themeTint="00" w:sz="32" w:space="0"/>
        <w:bottom w:val="single" w:color="FFFFFF" w:themeColor="accent3" w:themeTint="00" w:sz="32" w:space="0"/>
        <w:right w:val="single" w:color="FFFFFF" w:themeColor="accent3" w:themeTint="00" w:sz="32" w:space="0"/>
      </w:tblBorders>
      <w:shd w:val="clear" w:color="ffffff" w:themeColor="accent3" w:themeTint="00" w:fill="ffffff" w:themeFill="accent3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3" w:themeTint="00" w:fill="ffffff" w:themeFill="accent3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3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32" w:space="0"/>
        <w:left w:val="single" w:color="FFFFFF" w:themeColor="accent4" w:themeTint="00" w:sz="32" w:space="0"/>
        <w:bottom w:val="single" w:color="FFFFFF" w:themeColor="accent4" w:themeTint="00" w:sz="32" w:space="0"/>
        <w:right w:val="single" w:color="FFFFFF" w:themeColor="accent4" w:themeTint="00" w:sz="32" w:space="0"/>
      </w:tblBorders>
      <w:shd w:val="clear" w:color="ffffff" w:themeColor="accent4" w:themeTint="00" w:fill="ffffff" w:themeFill="accent4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4" w:themeTint="00" w:fill="ffffff" w:themeFill="accent4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4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32" w:space="0"/>
        <w:left w:val="single" w:color="FFFFFF" w:themeColor="accent5" w:themeTint="00" w:sz="32" w:space="0"/>
        <w:bottom w:val="single" w:color="FFFFFF" w:themeColor="accent5" w:themeTint="00" w:sz="32" w:space="0"/>
        <w:right w:val="single" w:color="FFFFFF" w:themeColor="accent5" w:themeTint="00" w:sz="32" w:space="0"/>
      </w:tblBorders>
      <w:shd w:val="clear" w:color="ffffff" w:themeColor="accent5" w:themeTint="00" w:fill="ffffff" w:themeFill="accent5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5" w:themeTint="00" w:fill="ffffff" w:themeFill="accent5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5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00" w:fill="ffffff" w:themeFill="accent5" w:themeFillTint="00"/>
        <w:tcBorders>
          <w:top w:val="single" w:color="FFFFFF" w:themeColor="accent5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32" w:space="0"/>
        <w:left w:val="single" w:color="FFFFFF" w:themeColor="accent6" w:themeTint="00" w:sz="32" w:space="0"/>
        <w:bottom w:val="single" w:color="FFFFFF" w:themeColor="accent6" w:themeTint="00" w:sz="32" w:space="0"/>
        <w:right w:val="single" w:color="FFFFFF" w:themeColor="accent6" w:themeTint="00" w:sz="32" w:space="0"/>
      </w:tblBorders>
      <w:shd w:val="clear" w:color="ffffff" w:themeColor="accent6" w:themeTint="00" w:fill="ffffff" w:themeFill="accent6" w:themeFillTint="0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6" w:themeTint="00" w:fill="ffffff" w:themeFill="accent6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6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00" w:fill="ffffff" w:themeFill="accent6" w:themeFillTint="00"/>
        <w:tcBorders>
          <w:top w:val="single" w:color="FFFFFF" w:themeColor="accent6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bottom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FFFFFF" w:themeColor="text1" w:themeTint="0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FFFFFF" w:themeColor="text1" w:themeTint="00" w:sz="4" w:space="0"/>
        </w:tcBorders>
      </w:tcPr>
    </w:tblStylePr>
  </w:style>
  <w:style w:type="table" w:styleId="809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b/>
        <w:color w:val="000000" w:themeColor="accent1" w:themeShade="00"/>
      </w:rPr>
    </w:tblStylePr>
    <w:tblStylePr w:type="firstRow">
      <w:rPr>
        <w:b/>
        <w:color w:val="000000" w:themeColor="accent1" w:themeShade="00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000000" w:themeColor="accent1" w:themeShade="00"/>
      </w:rPr>
    </w:tblStylePr>
    <w:tblStylePr w:type="lastRow">
      <w:rPr>
        <w:b/>
        <w:color w:val="000000" w:themeColor="accent1" w:themeShade="00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bottom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4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  <w:tcPr>
        <w:tcBorders>
          <w:top w:val="single" w:color="FFFFFF" w:themeColor="accent2" w:themeTint="00" w:sz="4" w:space="0"/>
        </w:tcBorders>
      </w:tcPr>
    </w:tblStylePr>
  </w:style>
  <w:style w:type="table" w:styleId="811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bottom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4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  <w:tcPr>
        <w:tcBorders>
          <w:top w:val="single" w:color="FFFFFF" w:themeColor="accent3" w:themeTint="00" w:sz="4" w:space="0"/>
        </w:tcBorders>
      </w:tcPr>
    </w:tblStylePr>
  </w:style>
  <w:style w:type="table" w:styleId="812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bottom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4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  <w:tcPr>
        <w:tcBorders>
          <w:top w:val="single" w:color="FFFFFF" w:themeColor="accent4" w:themeTint="00" w:sz="4" w:space="0"/>
        </w:tcBorders>
      </w:tcPr>
    </w:tblStylePr>
  </w:style>
  <w:style w:type="table" w:styleId="813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bottom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b/>
        <w:color w:val="ffffff" w:themeColor="accent5" w:themeTint="00" w:themeShade="00"/>
      </w:rPr>
    </w:tblStylePr>
    <w:tblStylePr w:type="firstRow">
      <w:rPr>
        <w:b/>
        <w:color w:val="ffffff" w:themeColor="accent5" w:themeTint="00" w:themeShade="00"/>
      </w:rPr>
      <w:tcPr>
        <w:tcBorders>
          <w:bottom w:val="single" w:color="FFFFFF" w:themeColor="accent5" w:themeTint="00" w:sz="4" w:space="0"/>
        </w:tcBorders>
      </w:tcPr>
    </w:tblStylePr>
    <w:tblStylePr w:type="lastCol">
      <w:rPr>
        <w:b/>
        <w:color w:val="ffffff" w:themeColor="accent5" w:themeTint="00" w:themeShade="00"/>
      </w:rPr>
    </w:tblStylePr>
    <w:tblStylePr w:type="lastRow">
      <w:rPr>
        <w:b/>
        <w:color w:val="ffffff" w:themeColor="accent5" w:themeTint="00" w:themeShade="00"/>
      </w:rPr>
      <w:tcPr>
        <w:tcBorders>
          <w:top w:val="single" w:color="FFFFFF" w:themeColor="accent5" w:themeTint="00" w:sz="4" w:space="0"/>
        </w:tcBorders>
      </w:tcPr>
    </w:tblStylePr>
  </w:style>
  <w:style w:type="table" w:styleId="814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bottom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b/>
        <w:color w:val="ffffff" w:themeColor="accent6" w:themeTint="00" w:themeShade="00"/>
      </w:rPr>
    </w:tblStylePr>
    <w:tblStylePr w:type="firstRow">
      <w:rPr>
        <w:b/>
        <w:color w:val="ffffff" w:themeColor="accent6" w:themeTint="00" w:themeShade="00"/>
      </w:rPr>
      <w:tcPr>
        <w:tcBorders>
          <w:bottom w:val="single" w:color="FFFFFF" w:themeColor="accent6" w:themeTint="00" w:sz="4" w:space="0"/>
        </w:tcBorders>
      </w:tcPr>
    </w:tblStylePr>
    <w:tblStylePr w:type="lastCol">
      <w:rPr>
        <w:b/>
        <w:color w:val="ffffff" w:themeColor="accent6" w:themeTint="00" w:themeShade="00"/>
      </w:rPr>
    </w:tblStylePr>
    <w:tblStylePr w:type="lastRow">
      <w:rPr>
        <w:b/>
        <w:color w:val="ffffff" w:themeColor="accent6" w:themeTint="00" w:themeShade="00"/>
      </w:rPr>
      <w:tcPr>
        <w:tcBorders>
          <w:top w:val="single" w:color="FFFFFF" w:themeColor="accent6" w:themeTint="00" w:sz="4" w:space="0"/>
        </w:tcBorders>
      </w:tcPr>
    </w:tblStylePr>
  </w:style>
  <w:style w:type="table" w:styleId="815" w:customStyle="1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rFonts w:ascii="Arial" w:hAnsi="Arial"/>
        <w:i/>
        <w:color w:val="000000" w:themeColor="accent1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rFonts w:ascii="Arial" w:hAnsi="Arial"/>
        <w:i/>
        <w:color w:val="ffffff" w:themeColor="accent5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rFonts w:ascii="Arial" w:hAnsi="Arial"/>
        <w:i/>
        <w:color w:val="ffffff" w:themeColor="accent6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23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24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25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26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27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30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31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32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33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34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text1" w:themeTint="00" w:sz="12" w:space="0"/>
        </w:tcBorders>
      </w:tcPr>
    </w:tblStylePr>
  </w:style>
  <w:style w:type="table" w:styleId="837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2" w:themeTint="00" w:sz="12" w:space="0"/>
        </w:tcBorders>
      </w:tcPr>
    </w:tblStylePr>
  </w:style>
  <w:style w:type="table" w:styleId="839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3" w:themeTint="00" w:sz="12" w:space="0"/>
        </w:tcBorders>
      </w:tcPr>
    </w:tblStylePr>
  </w:style>
  <w:style w:type="table" w:styleId="840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4" w:themeTint="00" w:sz="12" w:space="0"/>
        </w:tcBorders>
      </w:tcPr>
    </w:tblStylePr>
  </w:style>
  <w:style w:type="table" w:styleId="841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5" w:themeTint="00" w:sz="12" w:space="0"/>
        </w:tcBorders>
      </w:tcPr>
    </w:tblStylePr>
  </w:style>
  <w:style w:type="table" w:styleId="842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6" w:themeTint="00" w:sz="12" w:space="0"/>
        </w:tcBorders>
      </w:tcPr>
    </w:tblStylePr>
  </w:style>
  <w:style w:type="paragraph" w:styleId="843">
    <w:name w:val="footnote text"/>
    <w:basedOn w:val="666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67"/>
    <w:uiPriority w:val="99"/>
    <w:unhideWhenUsed/>
    <w:rPr>
      <w:vertAlign w:val="superscript"/>
    </w:rPr>
  </w:style>
  <w:style w:type="paragraph" w:styleId="846">
    <w:name w:val="endnote text"/>
    <w:basedOn w:val="666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67"/>
    <w:uiPriority w:val="99"/>
    <w:semiHidden/>
    <w:unhideWhenUsed/>
    <w:rPr>
      <w:vertAlign w:val="superscript"/>
    </w:rPr>
  </w:style>
  <w:style w:type="paragraph" w:styleId="849">
    <w:name w:val="toc 1"/>
    <w:basedOn w:val="666"/>
    <w:next w:val="666"/>
    <w:uiPriority w:val="39"/>
    <w:unhideWhenUsed/>
    <w:pPr>
      <w:spacing w:after="57"/>
    </w:pPr>
  </w:style>
  <w:style w:type="paragraph" w:styleId="850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51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52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53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54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55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56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57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66"/>
    <w:next w:val="666"/>
    <w:uiPriority w:val="99"/>
    <w:unhideWhenUsed/>
    <w:pPr>
      <w:spacing w:after="0"/>
    </w:pPr>
  </w:style>
  <w:style w:type="character" w:styleId="860">
    <w:name w:val="Hyperlink"/>
    <w:basedOn w:val="667"/>
    <w:uiPriority w:val="99"/>
    <w:unhideWhenUsed/>
    <w:rPr>
      <w:color w:val="0563c1" w:themeColor="hyperlink"/>
      <w:u w:val="single"/>
    </w:rPr>
  </w:style>
  <w:style w:type="table" w:styleId="861">
    <w:name w:val="Table Grid"/>
    <w:basedOn w:val="668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2" w:customStyle="1">
    <w:name w:val="Header"/>
    <w:basedOn w:val="666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667"/>
    <w:link w:val="862"/>
    <w:uiPriority w:val="99"/>
  </w:style>
  <w:style w:type="paragraph" w:styleId="864" w:customStyle="1">
    <w:name w:val="Footer"/>
    <w:basedOn w:val="666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667"/>
    <w:link w:val="864"/>
    <w:uiPriority w:val="99"/>
  </w:style>
  <w:style w:type="table" w:styleId="866" w:customStyle="1">
    <w:name w:val="Сетка таблицы1"/>
    <w:basedOn w:val="668"/>
    <w:next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7" w:customStyle="1">
    <w:name w:val="StGen0"/>
    <w:basedOn w:val="694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9d08e"/>
    </w:tcPr>
  </w:style>
  <w:style w:type="table" w:styleId="868" w:customStyle="1">
    <w:name w:val="StGen1"/>
    <w:basedOn w:val="694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9d08e"/>
    </w:tcPr>
  </w:style>
  <w:style w:type="paragraph" w:styleId="869" w:customStyle="1">
    <w:name w:val="Обычный1"/>
    <w:rPr>
      <w:lang w:eastAsia="ru-RU"/>
    </w:rPr>
  </w:style>
  <w:style w:type="paragraph" w:styleId="870" w:customStyle="1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871" w:customStyle="1">
    <w:name w:val="Заголовок 31"/>
    <w:basedOn w:val="666"/>
    <w:next w:val="666"/>
    <w:uiPriority w:val="9"/>
    <w:unhideWhenUsed/>
    <w:qFormat/>
    <w:pPr>
      <w:keepLines/>
      <w:keepNext/>
      <w:spacing w:before="200" w:after="0" w:line="27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hyperlink" Target="mailto:spets@defectologiya.pro" TargetMode="External"/><Relationship Id="rId11" Type="http://schemas.openxmlformats.org/officeDocument/2006/relationships/hyperlink" Target="mailto:kpk@defectologiya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+CRbW5vzj/gXxEHmBoNEMFjBA==">CgMxLjA4AHIhMTlpN0hqOVJuSV9YbUZQSDNiZmFwVTZsajJPWEJVaV9H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Кристина Владимировна Бойченко</cp:lastModifiedBy>
  <cp:revision>7</cp:revision>
  <dcterms:created xsi:type="dcterms:W3CDTF">2025-06-24T09:23:00Z</dcterms:created>
  <dcterms:modified xsi:type="dcterms:W3CDTF">2025-07-02T10:36:46Z</dcterms:modified>
</cp:coreProperties>
</file>